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B1" w:rsidRPr="004D2F07" w:rsidRDefault="009272B1">
      <w:pPr>
        <w:pStyle w:val="ConsPlusTitle"/>
        <w:jc w:val="center"/>
        <w:outlineLvl w:val="0"/>
        <w:rPr>
          <w:color w:val="000000"/>
        </w:rPr>
      </w:pPr>
      <w:r w:rsidRPr="004D2F07">
        <w:rPr>
          <w:color w:val="000000"/>
        </w:rPr>
        <w:t>ШАЦКАЯ РАЙОННАЯ ДУМА РЯЗАНСКОЙ ОБЛАСТИ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>РЕШЕНИЕ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 xml:space="preserve">от 11 ноября </w:t>
      </w:r>
      <w:smartTag w:uri="urn:schemas-microsoft-com:office:smarttags" w:element="metricconverter">
        <w:smartTagPr>
          <w:attr w:name="ProductID" w:val="2014 г"/>
        </w:smartTagPr>
        <w:r w:rsidRPr="004D2F07">
          <w:rPr>
            <w:color w:val="000000"/>
          </w:rPr>
          <w:t>2014 г</w:t>
        </w:r>
      </w:smartTag>
      <w:r w:rsidRPr="004D2F07">
        <w:rPr>
          <w:color w:val="000000"/>
        </w:rPr>
        <w:t>. N 13/4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>О КОРРЕКТИРУЮЩИХ КОЭФФИЦИЕНТАХ БАЗОВОЙ ДОХОДНОСТИ К2 ДЛЯ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>ИСЧИСЛЕНИЯ СУММЫ ЕДИНОГО НАЛОГА НА ВМЕНЕННЫЙ ДОХОД ДЛЯ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>ОТДЕЛЬНЫХ ВИДОВ ДЕЯТЕЛЬНОСТИ НА ТЕРРИТОРИИ МУНИЦИПАЛЬНОГО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>ОБРАЗОВАНИЯ - ШАЦКИЙ МУНИЦИПАЛЬНЫЙ РАЙОН РЯЗАНСКОЙ ОБЛАСТИ</w:t>
      </w:r>
    </w:p>
    <w:p w:rsidR="009272B1" w:rsidRPr="004D2F07" w:rsidRDefault="009272B1">
      <w:pPr>
        <w:pStyle w:val="ConsPlusTitle"/>
        <w:jc w:val="center"/>
        <w:rPr>
          <w:color w:val="000000"/>
        </w:rPr>
      </w:pPr>
      <w:r w:rsidRPr="004D2F07">
        <w:rPr>
          <w:color w:val="000000"/>
        </w:rPr>
        <w:t>НА 2015 ГОД</w:t>
      </w:r>
    </w:p>
    <w:p w:rsidR="009272B1" w:rsidRPr="004D2F07" w:rsidRDefault="009272B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272B1" w:rsidRPr="004D2F0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>Список изменяющих документов</w:t>
            </w:r>
          </w:p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>(в ред. Решений Шацкой районной Думы Рязанской области</w:t>
            </w:r>
          </w:p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 xml:space="preserve">от 02.11.2015 </w:t>
            </w:r>
            <w:hyperlink r:id="rId4" w:history="1">
              <w:r w:rsidRPr="004D2F07">
                <w:rPr>
                  <w:color w:val="000000"/>
                </w:rPr>
                <w:t>N 25/6</w:t>
              </w:r>
            </w:hyperlink>
            <w:r w:rsidRPr="004D2F07">
              <w:rPr>
                <w:color w:val="000000"/>
              </w:rPr>
              <w:t xml:space="preserve">, от 30.11.2016 </w:t>
            </w:r>
            <w:hyperlink r:id="rId5" w:history="1">
              <w:r w:rsidRPr="004D2F07">
                <w:rPr>
                  <w:color w:val="000000"/>
                </w:rPr>
                <w:t>N 39/1</w:t>
              </w:r>
            </w:hyperlink>
            <w:r w:rsidRPr="004D2F07">
              <w:rPr>
                <w:color w:val="000000"/>
              </w:rPr>
              <w:t>,</w:t>
            </w:r>
          </w:p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>с изм., внесенными Решениями Шацкой районной</w:t>
            </w:r>
          </w:p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>Думы Рязанской области</w:t>
            </w:r>
          </w:p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 xml:space="preserve">от 02.11.2015 </w:t>
            </w:r>
            <w:hyperlink r:id="rId6" w:history="1">
              <w:r w:rsidRPr="004D2F07">
                <w:rPr>
                  <w:color w:val="000000"/>
                </w:rPr>
                <w:t>N 25/7</w:t>
              </w:r>
            </w:hyperlink>
            <w:r w:rsidRPr="004D2F07">
              <w:rPr>
                <w:color w:val="000000"/>
              </w:rPr>
              <w:t xml:space="preserve">, от 17.11.2016 </w:t>
            </w:r>
            <w:hyperlink r:id="rId7" w:history="1">
              <w:r w:rsidRPr="004D2F07">
                <w:rPr>
                  <w:color w:val="000000"/>
                </w:rPr>
                <w:t>N 38/5</w:t>
              </w:r>
            </w:hyperlink>
            <w:r w:rsidRPr="004D2F07">
              <w:rPr>
                <w:color w:val="000000"/>
              </w:rPr>
              <w:t xml:space="preserve">, от 29.11.2017 </w:t>
            </w:r>
            <w:hyperlink r:id="rId8" w:history="1">
              <w:r w:rsidRPr="004D2F07">
                <w:rPr>
                  <w:color w:val="000000"/>
                </w:rPr>
                <w:t>N 48/7</w:t>
              </w:r>
            </w:hyperlink>
            <w:r w:rsidRPr="004D2F07">
              <w:rPr>
                <w:color w:val="000000"/>
              </w:rPr>
              <w:t>,</w:t>
            </w:r>
          </w:p>
          <w:p w:rsidR="009272B1" w:rsidRPr="004D2F07" w:rsidRDefault="009272B1">
            <w:pPr>
              <w:pStyle w:val="ConsPlusNormal"/>
              <w:jc w:val="center"/>
              <w:rPr>
                <w:color w:val="000000"/>
              </w:rPr>
            </w:pPr>
            <w:r w:rsidRPr="004D2F07">
              <w:rPr>
                <w:color w:val="000000"/>
              </w:rPr>
              <w:t xml:space="preserve">от 09.11.2018 </w:t>
            </w:r>
            <w:hyperlink r:id="rId9" w:history="1">
              <w:r w:rsidRPr="004D2F07">
                <w:rPr>
                  <w:color w:val="000000"/>
                </w:rPr>
                <w:t>N 2/9</w:t>
              </w:r>
            </w:hyperlink>
            <w:r w:rsidRPr="004D2F07">
              <w:rPr>
                <w:color w:val="000000"/>
              </w:rPr>
              <w:t xml:space="preserve">, от 29.10.2018 </w:t>
            </w:r>
            <w:hyperlink r:id="rId10" w:history="1">
              <w:r w:rsidRPr="004D2F07">
                <w:rPr>
                  <w:color w:val="000000"/>
                </w:rPr>
                <w:t>N 12/6</w:t>
              </w:r>
            </w:hyperlink>
            <w:r w:rsidRPr="004D2F07">
              <w:rPr>
                <w:color w:val="000000"/>
              </w:rPr>
              <w:t>)</w:t>
            </w:r>
          </w:p>
        </w:tc>
      </w:tr>
    </w:tbl>
    <w:p w:rsidR="009272B1" w:rsidRPr="004D2F07" w:rsidRDefault="009272B1">
      <w:pPr>
        <w:pStyle w:val="ConsPlusNormal"/>
        <w:jc w:val="both"/>
        <w:rPr>
          <w:color w:val="000000"/>
        </w:rPr>
      </w:pPr>
    </w:p>
    <w:p w:rsidR="009272B1" w:rsidRPr="004D2F07" w:rsidRDefault="009272B1">
      <w:pPr>
        <w:pStyle w:val="ConsPlusNormal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Рассмотрев предложения администрации муниципального образования - Шацкий муниципальный район "О корректирующих коэффициентах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Шацкий муниципальный район Рязанской области на 2015 год", руководствуясь Налоговым </w:t>
      </w:r>
      <w:hyperlink r:id="rId11" w:history="1">
        <w:r w:rsidRPr="004D2F07">
          <w:rPr>
            <w:color w:val="000000"/>
          </w:rPr>
          <w:t>кодексом</w:t>
        </w:r>
      </w:hyperlink>
      <w:r w:rsidRPr="004D2F07">
        <w:rPr>
          <w:color w:val="000000"/>
        </w:rPr>
        <w:t xml:space="preserve"> Российской Федерации, </w:t>
      </w:r>
      <w:hyperlink r:id="rId12" w:history="1">
        <w:r w:rsidRPr="004D2F07">
          <w:rPr>
            <w:color w:val="000000"/>
          </w:rPr>
          <w:t>Уставом</w:t>
        </w:r>
      </w:hyperlink>
      <w:r w:rsidRPr="004D2F07">
        <w:rPr>
          <w:color w:val="000000"/>
        </w:rPr>
        <w:t xml:space="preserve"> муниципального образования - Шацкий муниципальный район, Шацкая районная Дума решила: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I. Установить значения корректирующих коэффициентов базовой доходности К2 для исчисления суммы единого налога на вмененный доход на территории муниципального образования - Шацкий муниципальный район Рязанской области на 2015 год в отношении следующих видов предпринимательской деятельности: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 w:rsidRPr="004D2F07">
          <w:rPr>
            <w:color w:val="000000"/>
          </w:rPr>
          <w:t>классификатором</w:t>
        </w:r>
      </w:hyperlink>
      <w:r w:rsidRPr="004D2F07">
        <w:rPr>
          <w:color w:val="000000"/>
        </w:rPr>
        <w:t xml:space="preserve"> услуг населению, согласно </w:t>
      </w:r>
      <w:hyperlink w:anchor="P80" w:history="1">
        <w:r w:rsidRPr="004D2F07">
          <w:rPr>
            <w:color w:val="000000"/>
          </w:rPr>
          <w:t>приложению 1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2. Оказание ветеринарных услуг согласно </w:t>
      </w:r>
      <w:hyperlink w:anchor="P686" w:history="1">
        <w:r w:rsidRPr="004D2F07">
          <w:rPr>
            <w:color w:val="000000"/>
          </w:rPr>
          <w:t>приложению 2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3. Оказание услуг по ремонту, техническому обслуживанию и мойке автотранспортных средств согласно </w:t>
      </w:r>
      <w:hyperlink w:anchor="P752" w:history="1">
        <w:r w:rsidRPr="004D2F07">
          <w:rPr>
            <w:color w:val="000000"/>
          </w:rPr>
          <w:t>приложению 3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согласно </w:t>
      </w:r>
      <w:hyperlink w:anchor="P794" w:history="1">
        <w:r w:rsidRPr="004D2F07">
          <w:rPr>
            <w:color w:val="000000"/>
          </w:rPr>
          <w:t>приложению 4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828" w:history="1">
        <w:r w:rsidRPr="004D2F07">
          <w:rPr>
            <w:color w:val="000000"/>
          </w:rPr>
          <w:t>приложению 5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а) неспециализированная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торговли (магазины, павильоны), имеющие торговые залы, согласно </w:t>
      </w:r>
      <w:hyperlink w:anchor="P867" w:history="1">
        <w:r w:rsidRPr="004D2F07">
          <w:rPr>
            <w:color w:val="000000"/>
          </w:rPr>
          <w:t>приложению 6.1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б)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согласно </w:t>
      </w:r>
      <w:hyperlink w:anchor="P1018" w:history="1">
        <w:r w:rsidRPr="004D2F07">
          <w:rPr>
            <w:color w:val="000000"/>
          </w:rPr>
          <w:t>приложению 6.2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в) 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согласно </w:t>
      </w:r>
      <w:hyperlink w:anchor="P1235" w:history="1">
        <w:r w:rsidRPr="004D2F07">
          <w:rPr>
            <w:color w:val="000000"/>
          </w:rPr>
          <w:t>приложению 6.3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г) специализированная розничная торговля медицинскими товарами, осуществляемая через объекты стационарной торговой сети (аптеки), согласно </w:t>
      </w:r>
      <w:hyperlink w:anchor="P2106" w:history="1">
        <w:r w:rsidRPr="004D2F07">
          <w:rPr>
            <w:color w:val="000000"/>
          </w:rPr>
          <w:t>приложению 6.4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 по следующим подвидам деятельности: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а) 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согласно </w:t>
      </w:r>
      <w:hyperlink w:anchor="P2211" w:history="1">
        <w:r w:rsidRPr="004D2F07">
          <w:rPr>
            <w:color w:val="000000"/>
          </w:rPr>
          <w:t>приложению 7.1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б)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согласно </w:t>
      </w:r>
      <w:hyperlink w:anchor="P2265" w:history="1">
        <w:r w:rsidRPr="004D2F07">
          <w:rPr>
            <w:color w:val="000000"/>
          </w:rPr>
          <w:t>приложению 7.2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в) 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согласно </w:t>
      </w:r>
      <w:hyperlink w:anchor="P2392" w:history="1">
        <w:r w:rsidRPr="004D2F07">
          <w:rPr>
            <w:color w:val="000000"/>
          </w:rPr>
          <w:t>приложению 7.3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г) 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согласно </w:t>
      </w:r>
      <w:hyperlink w:anchor="P2711" w:history="1">
        <w:r w:rsidRPr="004D2F07">
          <w:rPr>
            <w:color w:val="000000"/>
          </w:rPr>
          <w:t>приложению 7.4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д) специализированная розничная торговля продовольственными товарами, при которой выручка от реализации одной группы товаров превышает 50% от общей выручки за налоговый период, осуществляемая через объекты нестационарной торговой сети, не имеющие торговых залов (с организацией торговых мест), согласно </w:t>
      </w:r>
      <w:hyperlink w:anchor="P2762" w:history="1">
        <w:r w:rsidRPr="004D2F07">
          <w:rPr>
            <w:color w:val="000000"/>
          </w:rPr>
          <w:t>приложению 7.5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е) 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согласно </w:t>
      </w:r>
      <w:hyperlink w:anchor="P2885" w:history="1">
        <w:r w:rsidRPr="004D2F07">
          <w:rPr>
            <w:color w:val="000000"/>
          </w:rPr>
          <w:t>приложению 7.6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д) 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(АЗС), согласно </w:t>
      </w:r>
      <w:hyperlink w:anchor="P3198" w:history="1">
        <w:r w:rsidRPr="004D2F07">
          <w:rPr>
            <w:color w:val="000000"/>
          </w:rPr>
          <w:t>приложению 7.7</w:t>
        </w:r>
      </w:hyperlink>
      <w:r w:rsidRPr="004D2F07">
        <w:rPr>
          <w:color w:val="000000"/>
        </w:rPr>
        <w:t xml:space="preserve"> к настоящему решению;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е) разносная (развозная)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3242" w:history="1">
        <w:r w:rsidRPr="004D2F07">
          <w:rPr>
            <w:color w:val="000000"/>
          </w:rPr>
          <w:t>приложению 7.8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3277" w:history="1">
        <w:r w:rsidRPr="004D2F07">
          <w:rPr>
            <w:color w:val="000000"/>
          </w:rPr>
          <w:t>приложению 8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9. Оказание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3411" w:history="1">
        <w:r w:rsidRPr="004D2F07">
          <w:rPr>
            <w:color w:val="000000"/>
          </w:rPr>
          <w:t>приложению 9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10. Распространение наружной рекламы с использованием рекламных конструкций согласно </w:t>
      </w:r>
      <w:hyperlink w:anchor="P3451" w:history="1">
        <w:r w:rsidRPr="004D2F07">
          <w:rPr>
            <w:color w:val="000000"/>
          </w:rPr>
          <w:t>приложению 10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11. Размещение рекламы с использованием внешних и внутренних поверхностей транспортных средств согласно </w:t>
      </w:r>
      <w:hyperlink w:anchor="P3531" w:history="1">
        <w:r w:rsidRPr="004D2F07">
          <w:rPr>
            <w:color w:val="000000"/>
          </w:rPr>
          <w:t>приложению 11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3563" w:history="1">
        <w:r w:rsidRPr="004D2F07">
          <w:rPr>
            <w:color w:val="000000"/>
          </w:rPr>
          <w:t>приложению 12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согласно </w:t>
      </w:r>
      <w:hyperlink w:anchor="P3625" w:history="1">
        <w:r w:rsidRPr="004D2F07">
          <w:rPr>
            <w:color w:val="000000"/>
          </w:rPr>
          <w:t>приложению 13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 xml:space="preserve"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согласно </w:t>
      </w:r>
      <w:hyperlink w:anchor="P3661" w:history="1">
        <w:r w:rsidRPr="004D2F07">
          <w:rPr>
            <w:color w:val="000000"/>
          </w:rPr>
          <w:t>приложению 14</w:t>
        </w:r>
      </w:hyperlink>
      <w:r w:rsidRPr="004D2F07">
        <w:rPr>
          <w:color w:val="000000"/>
        </w:rPr>
        <w:t xml:space="preserve"> к настоящему решению.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II.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1.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хранению автотранспортных средств, услуг на платных стоянках, распространению и (или) размещению наружной рекламы,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1) в Шацком городском поселении;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2) в прочих населенных пунктах;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3) вне населенных пунктов в пределах придорожной полосы дорог федерального и областного значения.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2. При осуществлении деятельности по розничной торговле и общественному питанию выбор корректирующего коэффициента К2 производится согласно типу населенного пункта (и или вне его) и месту дислокации (зоне), в котором осуществляется деятельность: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1) в Шацком городском поселении: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56"/>
      <w:bookmarkEnd w:id="0"/>
      <w:r w:rsidRPr="004D2F07">
        <w:rPr>
          <w:color w:val="000000"/>
        </w:rPr>
        <w:t>1 зона - в пределах 200 метров от зданий органов местного самоуправления (администрации муниципального района и администрации городского поселения), на территории рынков, на территории железнодорожных 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57"/>
      <w:bookmarkEnd w:id="1"/>
      <w:r w:rsidRPr="004D2F07">
        <w:rPr>
          <w:color w:val="000000"/>
        </w:rPr>
        <w:t>2 зона - в других местах.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2) в прочих населенных пунктах;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3) вне населенных пунктов в пределах придорожной полосы дорог федерального и областного значения.</w:t>
      </w:r>
    </w:p>
    <w:p w:rsidR="009272B1" w:rsidRPr="004D2F07" w:rsidRDefault="009272B1">
      <w:pPr>
        <w:pStyle w:val="ConsPlusNormal"/>
        <w:spacing w:before="220"/>
        <w:ind w:firstLine="540"/>
        <w:jc w:val="both"/>
        <w:rPr>
          <w:color w:val="000000"/>
        </w:rPr>
      </w:pPr>
      <w:r w:rsidRPr="004D2F07">
        <w:rPr>
          <w:color w:val="000000"/>
        </w:rPr>
        <w:t>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9272B1" w:rsidRPr="004D2F07" w:rsidRDefault="009272B1">
      <w:pPr>
        <w:pStyle w:val="ConsPlusNormal"/>
        <w:spacing w:before="280"/>
        <w:ind w:firstLine="540"/>
        <w:jc w:val="both"/>
        <w:rPr>
          <w:color w:val="000000"/>
        </w:rPr>
      </w:pPr>
      <w:r w:rsidRPr="004D2F07">
        <w:rPr>
          <w:color w:val="000000"/>
        </w:rPr>
        <w:t>II. Настоящее решение вступает в силу по истечении месяца со дня его официального опубликования в Информационном бюллетене муниципального образования - Шацкий муниципальный район Рязанской области, но не ранее 1 января 2015 года.</w:t>
      </w:r>
    </w:p>
    <w:p w:rsidR="009272B1" w:rsidRPr="004D2F07" w:rsidRDefault="009272B1">
      <w:pPr>
        <w:pStyle w:val="ConsPlusNormal"/>
        <w:jc w:val="both"/>
        <w:rPr>
          <w:color w:val="000000"/>
        </w:rPr>
      </w:pPr>
    </w:p>
    <w:p w:rsidR="009272B1" w:rsidRPr="004D2F07" w:rsidRDefault="009272B1">
      <w:pPr>
        <w:pStyle w:val="ConsPlusNormal"/>
        <w:jc w:val="right"/>
        <w:rPr>
          <w:color w:val="000000"/>
        </w:rPr>
      </w:pPr>
      <w:r w:rsidRPr="004D2F07">
        <w:rPr>
          <w:color w:val="000000"/>
        </w:rPr>
        <w:t>Председатель Шацкой районной Думы,</w:t>
      </w:r>
    </w:p>
    <w:p w:rsidR="009272B1" w:rsidRPr="004D2F07" w:rsidRDefault="009272B1">
      <w:pPr>
        <w:pStyle w:val="ConsPlusNormal"/>
        <w:jc w:val="right"/>
        <w:rPr>
          <w:color w:val="000000"/>
        </w:rPr>
      </w:pPr>
      <w:r w:rsidRPr="004D2F07">
        <w:rPr>
          <w:color w:val="000000"/>
        </w:rPr>
        <w:t>глава муниципального образования -</w:t>
      </w:r>
    </w:p>
    <w:p w:rsidR="009272B1" w:rsidRPr="004D2F07" w:rsidRDefault="009272B1">
      <w:pPr>
        <w:pStyle w:val="ConsPlusNormal"/>
        <w:jc w:val="right"/>
        <w:rPr>
          <w:color w:val="000000"/>
        </w:rPr>
      </w:pPr>
      <w:r w:rsidRPr="004D2F07">
        <w:rPr>
          <w:color w:val="000000"/>
        </w:rPr>
        <w:t>Шацкий муниципальный район</w:t>
      </w:r>
    </w:p>
    <w:p w:rsidR="009272B1" w:rsidRPr="004D2F07" w:rsidRDefault="009272B1">
      <w:pPr>
        <w:pStyle w:val="ConsPlusNormal"/>
        <w:jc w:val="right"/>
        <w:rPr>
          <w:color w:val="000000"/>
        </w:rPr>
      </w:pPr>
      <w:r w:rsidRPr="004D2F07">
        <w:rPr>
          <w:color w:val="000000"/>
        </w:rPr>
        <w:t>Рязанской области</w:t>
      </w:r>
    </w:p>
    <w:p w:rsidR="009272B1" w:rsidRPr="004D2F07" w:rsidRDefault="009272B1">
      <w:pPr>
        <w:pStyle w:val="ConsPlusNormal"/>
        <w:jc w:val="right"/>
        <w:rPr>
          <w:color w:val="000000"/>
        </w:rPr>
      </w:pPr>
      <w:r w:rsidRPr="004D2F07">
        <w:rPr>
          <w:color w:val="000000"/>
        </w:rPr>
        <w:t>В.К.МОЛОТКОВ</w:t>
      </w:r>
    </w:p>
    <w:p w:rsidR="009272B1" w:rsidRPr="004D2F07" w:rsidRDefault="009272B1">
      <w:pPr>
        <w:pStyle w:val="ConsPlusNormal"/>
        <w:jc w:val="both"/>
        <w:rPr>
          <w:color w:val="000000"/>
        </w:rPr>
      </w:pPr>
    </w:p>
    <w:p w:rsidR="009272B1" w:rsidRPr="004D2F07" w:rsidRDefault="009272B1">
      <w:pPr>
        <w:pStyle w:val="ConsPlusNormal"/>
        <w:jc w:val="both"/>
        <w:rPr>
          <w:color w:val="000000"/>
        </w:rPr>
      </w:pPr>
    </w:p>
    <w:p w:rsidR="009272B1" w:rsidRPr="004D2F07" w:rsidRDefault="009272B1">
      <w:pPr>
        <w:pStyle w:val="ConsPlusNormal"/>
        <w:jc w:val="both"/>
        <w:rPr>
          <w:color w:val="000000"/>
        </w:rPr>
      </w:pPr>
    </w:p>
    <w:p w:rsidR="009272B1" w:rsidRPr="004D2F07" w:rsidRDefault="009272B1">
      <w:pPr>
        <w:pStyle w:val="ConsPlusNormal"/>
        <w:jc w:val="both"/>
        <w:rPr>
          <w:color w:val="000000"/>
        </w:rPr>
      </w:pPr>
    </w:p>
    <w:p w:rsidR="009272B1" w:rsidRPr="004D2F07" w:rsidRDefault="009272B1">
      <w:pPr>
        <w:pStyle w:val="ConsPlusNormal"/>
        <w:jc w:val="both"/>
        <w:rPr>
          <w:color w:val="000000"/>
        </w:rPr>
      </w:pPr>
    </w:p>
    <w:sectPr w:rsidR="009272B1" w:rsidRPr="004D2F07" w:rsidSect="004D2F0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91F"/>
    <w:rsid w:val="00185B9D"/>
    <w:rsid w:val="0037091F"/>
    <w:rsid w:val="004D2F07"/>
    <w:rsid w:val="005133C5"/>
    <w:rsid w:val="0057198C"/>
    <w:rsid w:val="00635EA4"/>
    <w:rsid w:val="009272B1"/>
    <w:rsid w:val="00987374"/>
    <w:rsid w:val="00A40219"/>
    <w:rsid w:val="00D6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091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709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7091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709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7091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37091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7091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7091F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FB98EBF43A2F148281288243AA108E82304C04F5A2F2A8BA39829B23644216D15CF9E504DC9197EEFA62197030AC87C5235ACF939F2FCF3B9A895KEk8J" TargetMode="External"/><Relationship Id="rId13" Type="http://schemas.openxmlformats.org/officeDocument/2006/relationships/hyperlink" Target="consultantplus://offline/ref=DBBFB98EBF43A2F148280C853256FF02EA2D52CA485B2178D6FE9E7EED6642743F5591C71101DA187FF1A42190K0k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BFB98EBF43A2F148281288243AA108E82304C04F5C2D2E83AD9829B23644216D15CF9E504DC9197EEFA62197030AC87C5235ACF939F2FCF3B9A895KEk8J" TargetMode="External"/><Relationship Id="rId12" Type="http://schemas.openxmlformats.org/officeDocument/2006/relationships/hyperlink" Target="consultantplus://offline/ref=DBBFB98EBF43A2F148281288243AA108E82304C04F5E2C278CAB9829B23644216D15CF9E504DC9197EEDA32190030AC87C5235ACF939F2FCF3B9A895KEk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BFB98EBF43A2F148281288243AA108E82304C04C57232E8CAA9829B23644216D15CF9E504DC9197EEFA62197030AC87C5235ACF939F2FCF3B9A895KEk8J" TargetMode="External"/><Relationship Id="rId11" Type="http://schemas.openxmlformats.org/officeDocument/2006/relationships/hyperlink" Target="consultantplus://offline/ref=DBBFB98EBF43A2F148280C853256FF02E82A5CCB445A2178D6FE9E7EED6642742D55C9CB120AC31875BBF765C7055C91260739B0F327F0KFkDJ" TargetMode="External"/><Relationship Id="rId5" Type="http://schemas.openxmlformats.org/officeDocument/2006/relationships/hyperlink" Target="consultantplus://offline/ref=DBBFB98EBF43A2F148281288243AA108E82304C04F5C28268CA29829B23644216D15CF9E504DC9197EEFA62197030AC87C5235ACF939F2FCF3B9A895KEk8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BBFB98EBF43A2F148281288243AA108E82304C04F57292D8BAC9829B23644216D15CF9E504DC9197EEFA62197030AC87C5235ACF939F2FCF3B9A895KEk8J" TargetMode="External"/><Relationship Id="rId4" Type="http://schemas.openxmlformats.org/officeDocument/2006/relationships/hyperlink" Target="consultantplus://offline/ref=DBBFB98EBF43A2F148281288243AA108E82304C04C57232E83AA9829B23644216D15CF9E504DC9197EEFA62197030AC87C5235ACF939F2FCF3B9A895KEk8J" TargetMode="External"/><Relationship Id="rId9" Type="http://schemas.openxmlformats.org/officeDocument/2006/relationships/hyperlink" Target="consultantplus://offline/ref=DBBFB98EBF43A2F148281288243AA108E82304C04F5823278AA39829B23644216D15CF9E504DC9197EEFA62190030AC87C5235ACF939F2FCF3B9A895KEk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1997</Words>
  <Characters>11389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2020-01-30T14:06:00Z</dcterms:created>
  <dcterms:modified xsi:type="dcterms:W3CDTF">2020-01-30T14:07:00Z</dcterms:modified>
</cp:coreProperties>
</file>